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  <w:p>
      <w:pPr>
        <w:spacing w:after="60" w:before="0"/>
        <w:jc w:val="center"/>
      </w:pPr>
      <w:r>
        <w:rPr>
          <w:rFonts w:ascii="Calibri" w:cs="Calibri" w:eastAsia="Calibri" w:hAnsi="Calibri"/>
          <w:b/>
          <w:bCs/>
          <w:color w:val="888888"/>
          <w:sz w:val="17"/>
          <w:szCs w:val="17"/>
        </w:rPr>
        <w:t xml:space="preserve">ANEXO III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b/>
          <w:bCs/>
          <w:color w:val="0B2D52"/>
          <w:sz w:val="28"/>
          <w:szCs w:val="28"/>
        </w:rPr>
        <w:t xml:space="preserve">Solicitud de Reunión Presencial con el RSII</w:t>
      </w:r>
    </w:p>
    <w:p>
      <w:pPr>
        <w:spacing w:after="360" w:before="0"/>
        <w:jc w:val="center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Para uso del informante · Puede entregarse en mano o enviarse por correo postal o email al RSII</w:t>
      </w:r>
    </w:p>
    <w:p>
      <w:pPr>
        <w:spacing w:after="80" w:before="6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Solicitud de reunión presencial con el Responsable del Sistema Interno de Información de [NOMBRE_CORREDURÍA], conforme al art. 5.2.c de la Ley 2/2023.</w:t>
      </w:r>
    </w:p>
    <w:p>
      <w:pPr>
        <w:spacing w:after="40" w:before="4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0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E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Fecha de la solicitud</w:t>
            </w:r>
          </w:p>
        </w:tc>
        <w:tc>
          <w:tcPr>
            <w:tcW w:type="dxa" w:w="5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E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Nombre del solicitante
(puede dejarse en blanco si desea anonimato)</w:t>
            </w:r>
          </w:p>
        </w:tc>
        <w:tc>
          <w:tcPr>
            <w:tcW w:type="dxa" w:w="5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E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Medio de respuesta preferido</w:t>
            </w:r>
          </w:p>
        </w:tc>
        <w:tc>
          <w:tcPr>
            <w:tcW w:type="dxa" w:w="5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☐  Email: ___________________    ☐  Teléfono: ___________________    ☐  Sin contacto previo (presentación directa)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E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Disponibilidad horaria aproximada</w:t>
            </w:r>
          </w:p>
        </w:tc>
        <w:tc>
          <w:tcPr>
            <w:tcW w:type="dxa" w:w="5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EE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Código de seguimiento (si ya tiene uno)</w:t>
            </w:r>
          </w:p>
        </w:tc>
        <w:tc>
          <w:tcPr>
            <w:tcW w:type="dxa" w:w="5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4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bottom w:type="dxa" w:w="120"/>
        </w:tblCellMar>
      </w:tblPr>
      <w:tblGrid>
        <w:gridCol w:w="9000"/>
      </w:tblGrid>
      <w:tr>
        <w:tc>
          <w:tcPr>
            <w:tcBorders>
              <w:top w:val="single" w:color="0B2D52" w:sz="6"/>
              <w:left w:val="thick" w:color="0B2D52" w:sz="12"/>
              <w:bottom w:val="single" w:color="0B2D52" w:sz="2"/>
              <w:right w:val="single" w:color="0B2D52" w:sz="2"/>
            </w:tcBorders>
            <w:shd w:fill="E6EE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0B2D52"/>
                <w:sz w:val="21"/>
                <w:szCs w:val="21"/>
              </w:rPr>
              <w:t xml:space="preserve">Plazo de respuesta del RSII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74151"/>
                <w:sz w:val="20"/>
                <w:szCs w:val="20"/>
              </w:rPr>
              <w:t xml:space="preserve">El RSII debe confirmar la reunión y celebrarla en un plazo máximo de 7 días naturales desde la recepción de esta solicitud. La reunión tendrá lugar en las instalaciones de la entidad o en otro lugar acordado que garantice la confidencialidad.</w:t>
            </w:r>
          </w:p>
        </w:tc>
      </w:tr>
    </w:tbl>
    <w:p>
      <w:pPr>
        <w:spacing w:after="40" w:before="40"/>
      </w:pPr>
      <w:r>
        <w:t xml:space="preserve"/>
      </w:r>
    </w:p>
    <w:p>
      <w:pPr>
        <w:spacing w:after="40" w:before="40"/>
      </w:pPr>
      <w:r>
        <w:t xml:space="preserve"/>
      </w:r>
    </w:p>
    <w:p>
      <w:pPr>
        <w:pBdr>
          <w:top w:val="single" w:color="0B2D52" w:sz="4" w:space="1"/>
        </w:pBdr>
        <w:spacing w:after="0" w:before="280"/>
        <w:jc w:val="center"/>
      </w:pPr>
      <w:r>
        <w:rPr>
          <w:rFonts w:ascii="Calibri" w:cs="Calibri" w:eastAsia="Calibri" w:hAnsi="Calibri"/>
          <w:color w:val="888888"/>
          <w:sz w:val="15"/>
          <w:szCs w:val="15"/>
        </w:rPr>
        <w:t xml:space="preserve">Soporte técnico del canal: Solvento Consulting Partner, S.L. · NIF B-61446456 · www.solventoconsulting.com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